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Rabbi Wendy Ilene Zierler, Ph.D.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Books: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vertAlign w:val="baseline"/>
          <w:rtl w:val="0"/>
        </w:rPr>
        <w:t xml:space="preserve">These Truths We Hold: Judaism in an Age of Truthiness,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Co-Editor with Joshua Garroway (HUC Press, 2022).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vertAlign w:val="baseline"/>
          <w:rtl w:val="0"/>
        </w:rPr>
        <w:t xml:space="preserve">Building a City: Alan Mintz Memorial Book,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Co-Editor with Sheila Jelen (Indiana University Press, 2022).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vertAlign w:val="baseline"/>
          <w:rtl w:val="0"/>
        </w:rPr>
        <w:t xml:space="preserve">Midrash and Movies: Popular Film and Jewish Religious Conversation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SUNY Press, 2017). Finalist for National Jewish Book Award in Modern Jewish Thought and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vertAlign w:val="baseline"/>
          <w:rtl w:val="0"/>
        </w:rPr>
        <w:t xml:space="preserve">To Tread on New Ground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vertAlign w:val="baseline"/>
          <w:rtl w:val="0"/>
        </w:rPr>
        <w:t xml:space="preserve">Selected Hebrew Writings of Hava Shapiro 1878-1943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English, with new material, translated by Wendy Zierler, edited together with Carole B. Balin. (Wayne State University Press, 2014).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vertAlign w:val="baseline"/>
          <w:rtl w:val="0"/>
        </w:rPr>
        <w:t xml:space="preserve">Behikansi Atah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(The Collected Writings of Hava Shapiro, Hebrew) edited with Carole B. Balin, Hebrew (Resling Press, 2008).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vertAlign w:val="baseline"/>
          <w:rtl w:val="0"/>
        </w:rPr>
        <w:t xml:space="preserve">And Rachel Stole the Idols: The Emergence of Modern Hebrew Women’s Writing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(Wayne State University Press, 2004)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rFonts w:ascii="Garamond" w:cs="Garamond" w:eastAsia="Garamond" w:hAnsi="Garamond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none"/>
          <w:vertAlign w:val="baseline"/>
          <w:rtl w:val="0"/>
        </w:rPr>
        <w:t xml:space="preserve">Recent Journal /Book Articles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 w:hanging="360"/>
        <w:rPr>
          <w:rFonts w:ascii="Garamond" w:cs="Garamond" w:eastAsia="Garamond" w:hAnsi="Garamond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vertAlign w:val="baseline"/>
          <w:rtl w:val="0"/>
        </w:rPr>
        <w:t xml:space="preserve">“From Hanye to Tehilla: The Righteous ‘Grandmother’ as Personification of the Shtetl and Jerusalem in Baron and Agnon,” in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2"/>
          <w:szCs w:val="22"/>
          <w:vertAlign w:val="baseline"/>
          <w:rtl w:val="0"/>
        </w:rPr>
        <w:t xml:space="preserve">Agnon’s Stories of the Land of Israel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vertAlign w:val="baseline"/>
          <w:rtl w:val="0"/>
        </w:rPr>
        <w:t xml:space="preserve">, Jeffrey Saks and Steven Fine eds. (Wipf and Stock, 2021).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 w:hanging="360"/>
        <w:rPr>
          <w:rFonts w:ascii="Garamond" w:cs="Garamond" w:eastAsia="Garamond" w:hAnsi="Garamond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vertAlign w:val="baseline"/>
          <w:rtl w:val="0"/>
        </w:rPr>
        <w:t xml:space="preserve">“Looking and Listening Differently: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2"/>
          <w:szCs w:val="22"/>
          <w:vertAlign w:val="baseline"/>
          <w:rtl w:val="0"/>
        </w:rPr>
        <w:t xml:space="preserve">Crimes and Misdemeanors, 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vertAlign w:val="baseline"/>
          <w:rtl w:val="0"/>
        </w:rPr>
        <w:t xml:space="preserve">II Samuel 11-12 and #METOO,” 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2"/>
          <w:szCs w:val="22"/>
          <w:vertAlign w:val="baseline"/>
          <w:rtl w:val="0"/>
        </w:rPr>
        <w:t xml:space="preserve">Nashim 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vertAlign w:val="baseline"/>
          <w:rtl w:val="0"/>
        </w:rPr>
        <w:t xml:space="preserve">38 (Spring 5781-2021).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“Anthological Poetics,” in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Since 1948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Nancy Berg and Naomi Sokoloff eds. (SUNY Press, 2020).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Commentary on Amos Oz’s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In the Land of Israel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in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The New Jewish Canon,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Yehuda Kurtzer and Claire Suffrin eds. (Academic Studies Press, 2020).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“Breaking the Idyll: Rereading Flaubert’s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Madame Bovary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and Agnon’s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Sippur Pashut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through Devorah Baron’s “Fradl,”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Prooftexts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37:3 (2019).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360" w:hanging="360"/>
        <w:rPr>
          <w:rFonts w:ascii="Garamond" w:cs="Garamond" w:eastAsia="Garamond" w:hAnsi="Garamond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vertAlign w:val="baseline"/>
          <w:rtl w:val="0"/>
        </w:rPr>
        <w:t xml:space="preserve">“‘Look what I’ve found,’ said Kohelette: Texts that Talk Back to Kohelet 7,”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2"/>
          <w:szCs w:val="22"/>
          <w:vertAlign w:val="baseline"/>
          <w:rtl w:val="0"/>
        </w:rPr>
        <w:t xml:space="preserve">CCAR Journal: The Reform Jewish Quarterly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vertAlign w:val="baseline"/>
          <w:rtl w:val="0"/>
        </w:rPr>
        <w:t xml:space="preserve"> (Winter 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“H is For Hebrew: Hawking a Re-Sacralized Hebrew in America,” in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What We Talk About When We Talk About Hebrew (And Why It Matters to Americans)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Naomi Sokoloff and Nancy Berg eds., University of Washington Press (2018). Winner of the National Jewish Book Award, 2019.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highlight w:val="white"/>
          <w:vertAlign w:val="baseline"/>
          <w:rtl w:val="0"/>
        </w:rPr>
        <w:t xml:space="preserve">“On Sacrifices and Life: Wholeness Dismembered but Re-remembered,” </w:t>
      </w:r>
      <w:hyperlink r:id="rId7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https://www.thetorah.com/article/on-sacrifices-and-life-wholeness-dismembered-but-re-membered</w:t>
        </w:r>
      </w:hyperlink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highlight w:val="white"/>
          <w:vertAlign w:val="baseline"/>
          <w:rtl w:val="0"/>
        </w:rPr>
        <w:t xml:space="preserve">“A Tribute to the Blasphemer’s Mother: Shelomit, Daughter of Divri,”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vertAlign w:val="baseline"/>
            <w:rtl w:val="0"/>
          </w:rPr>
          <w:t xml:space="preserve">http://thetorah.com/a-tribute-to-the-blasphemers-mother-shelomit-daughter-of-divri/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rFonts w:ascii="Garamond" w:cs="Garamond" w:eastAsia="Garamond" w:hAnsi="Garamond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“A Feminist Literalist Allegorical Reading of Shir Hashirim,”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The Torah.com,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2017. </w:t>
      </w:r>
      <w:hyperlink r:id="rId9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vertAlign w:val="baseline"/>
            <w:rtl w:val="0"/>
          </w:rPr>
          <w:t xml:space="preserve">http://thetorah.com/a-feminist-literalist-allegorical-reading-of-shir-hashirim/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“Changing Interpretive Seas: Re-Encountering Miriam,”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 The Torah.com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2016.   </w:t>
      </w:r>
      <w:hyperlink r:id="rId10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vertAlign w:val="baseline"/>
            <w:rtl w:val="0"/>
          </w:rPr>
          <w:t xml:space="preserve">http://thetorah.com/re-encountering-miriam/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“The Haggadah: Toward a Pedagogy of Freedom,”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The Torah.com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2016. </w:t>
      </w:r>
      <w:hyperlink r:id="rId11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vertAlign w:val="baseline"/>
            <w:rtl w:val="0"/>
          </w:rPr>
          <w:t xml:space="preserve">http://thetorah.com/the-haggadah-toward-a-pedagogy-of-freedom/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“Can Elijah Reconcile Fathers and Sons?”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TheTorah.com,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2016. </w:t>
      </w:r>
      <w:hyperlink r:id="rId12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vertAlign w:val="baseline"/>
            <w:rtl w:val="0"/>
          </w:rPr>
          <w:t xml:space="preserve">http://thetorah.com/can-elijah-reconcile-fathers-and-sons/</w:t>
        </w:r>
      </w:hyperlink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“The Enduring Value of These Days of Purim,”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TheTorah.com,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2016. </w:t>
      </w:r>
      <w:hyperlink r:id="rId13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vertAlign w:val="baseline"/>
            <w:rtl w:val="0"/>
          </w:rPr>
          <w:t xml:space="preserve">http://thetorah.com/the-enduring-value-of-these-days-of-purim/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360" w:hanging="36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“The Skin of the Metsorah and the Heart of the Messiah,”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TheTorah.com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2015 </w:t>
      </w:r>
      <w:hyperlink r:id="rId14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vertAlign w:val="baseline"/>
            <w:rtl w:val="0"/>
          </w:rPr>
          <w:t xml:space="preserve">http://thetorah.com/the-skin-of-the-metzora-and-the-heart-of-the-messiah/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rFonts w:ascii="Garamond" w:cs="Garamond" w:eastAsia="Garamond" w:hAnsi="Garamond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even"/>
      <w:footerReference r:id="rId17" w:type="default"/>
      <w:footerReference r:id="rId18" w:type="even"/>
      <w:pgSz w:h="16840" w:w="11907" w:orient="portrait"/>
      <w:pgMar w:bottom="1440" w:top="1440" w:left="1440" w:right="13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ew York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W. Zierler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ind w:right="1440"/>
    </w:pPr>
    <w:rPr>
      <w:b w:val="1"/>
      <w:sz w:val="22"/>
      <w:szCs w:val="22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1440"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 York" w:hAnsi="New York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right="-590"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itle1">
    <w:name w:val="title1"/>
    <w:next w:val="title1"/>
    <w:autoRedefine w:val="0"/>
    <w:hidden w:val="0"/>
    <w:qFormat w:val="0"/>
    <w:rPr>
      <w:rFonts w:ascii="Times" w:hAnsi="Times" w:hint="default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MediumGrid2">
    <w:name w:val="Medium Grid 2"/>
    <w:next w:val="MediumGrid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hetorah.com/the-haggadah-toward-a-pedagogy-of-freedom/" TargetMode="External"/><Relationship Id="rId10" Type="http://schemas.openxmlformats.org/officeDocument/2006/relationships/hyperlink" Target="http://thetorah.com/re-encountering-miriam/" TargetMode="External"/><Relationship Id="rId13" Type="http://schemas.openxmlformats.org/officeDocument/2006/relationships/hyperlink" Target="http://thetorah.com/the-enduring-value-of-these-days-of-purim/" TargetMode="External"/><Relationship Id="rId12" Type="http://schemas.openxmlformats.org/officeDocument/2006/relationships/hyperlink" Target="http://thetorah.com/can-elijah-reconcile-fathers-and-son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hetorah.com/a-feminist-literalist-allegorical-reading-of-shir-hashirim/" TargetMode="External"/><Relationship Id="rId15" Type="http://schemas.openxmlformats.org/officeDocument/2006/relationships/header" Target="header1.xml"/><Relationship Id="rId14" Type="http://schemas.openxmlformats.org/officeDocument/2006/relationships/hyperlink" Target="http://thetorah.com/the-skin-of-the-metzora-and-the-heart-of-the-messiah/" TargetMode="Externa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www.thetorah.com/article/on-sacrifices-and-life-wholeness-dismembered-but-re-membered" TargetMode="External"/><Relationship Id="rId8" Type="http://schemas.openxmlformats.org/officeDocument/2006/relationships/hyperlink" Target="http://thetorah.com/a-tribute-to-the-blasphemers-mother-shelomit-daughter-of-divr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0hVlfOzyiYZ8TQ6uHVMkBPvTQ==">AMUW2mVqaKelS7B03P/+KY0Avq7sKD8utMYBbLV+nPfz2eaujdpPvAcvt6dPyjyPY1I9boGkPsrpztNhZAu9fAQgV1XgqcodidKAwPKjebCRY65dH0kMnM4=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2022-06-29T01:49:00Z</dcterms:created>
  <dc:creator>Lai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